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jc w:val="center"/>
        <w:rPr>
          <w:rFonts w:ascii="Times New Roman" w:hAnsi="Times New Roman" w:cs="Times New Roman"/>
          <w:b/>
          <w:bCs/>
          <w:color w:val="auto"/>
          <w:sz w:val="72"/>
          <w:szCs w:val="144"/>
        </w:rPr>
      </w:pPr>
      <w:r>
        <w:rPr>
          <w:rFonts w:ascii="Times New Roman" w:hAnsi="Times New Roman" w:cs="Times New Roman"/>
          <w:b/>
          <w:bCs/>
          <w:color w:val="auto"/>
          <w:sz w:val="72"/>
          <w:szCs w:val="144"/>
        </w:rPr>
        <w:t>招 标 文 件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ind w:firstLine="640" w:firstLineChars="200"/>
        <w:rPr>
          <w:rFonts w:asciiTheme="minorEastAsia" w:hAnsiTheme="minorEastAsia" w:cstheme="minorEastAsia"/>
          <w:color w:val="auto"/>
          <w:sz w:val="32"/>
          <w:szCs w:val="32"/>
          <w:u w:val="single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</w:rPr>
        <w:t>工程名称：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 xml:space="preserve">龙腾御锦湾12-15#楼铝合金门窗制作安装工程 </w:t>
      </w:r>
    </w:p>
    <w:p>
      <w:pPr>
        <w:rPr>
          <w:rFonts w:asciiTheme="minorEastAsia" w:hAnsiTheme="minorEastAsia" w:cstheme="minorEastAsia"/>
          <w:color w:val="auto"/>
          <w:sz w:val="32"/>
          <w:szCs w:val="32"/>
        </w:rPr>
      </w:pPr>
    </w:p>
    <w:p>
      <w:pPr>
        <w:rPr>
          <w:rFonts w:asciiTheme="minorEastAsia" w:hAnsiTheme="minorEastAsia" w:cstheme="minorEastAsia"/>
          <w:color w:val="auto"/>
          <w:sz w:val="32"/>
          <w:szCs w:val="32"/>
        </w:rPr>
      </w:pPr>
    </w:p>
    <w:p>
      <w:pPr>
        <w:ind w:firstLine="640" w:firstLineChars="200"/>
        <w:rPr>
          <w:rFonts w:asciiTheme="minorEastAsia" w:hAnsi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</w:rPr>
        <w:t>建设单位：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>成都吉兴和投资有限公司</w:t>
      </w:r>
    </w:p>
    <w:p>
      <w:pPr>
        <w:rPr>
          <w:rFonts w:asciiTheme="minorEastAsia" w:hAnsiTheme="minorEastAsia" w:cstheme="minorEastAsia"/>
          <w:color w:val="auto"/>
          <w:sz w:val="32"/>
          <w:szCs w:val="32"/>
        </w:rPr>
      </w:pPr>
    </w:p>
    <w:p>
      <w:pPr>
        <w:rPr>
          <w:rFonts w:asciiTheme="minorEastAsia" w:hAnsiTheme="minorEastAsia" w:cstheme="minorEastAsia"/>
          <w:color w:val="auto"/>
          <w:sz w:val="32"/>
          <w:szCs w:val="32"/>
        </w:rPr>
      </w:pPr>
    </w:p>
    <w:p>
      <w:pPr>
        <w:ind w:firstLine="640" w:firstLineChars="200"/>
        <w:rPr>
          <w:color w:val="auto"/>
          <w:sz w:val="28"/>
          <w:szCs w:val="36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</w:rPr>
        <w:t>招标时间：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>2021年1月19日至1月2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>日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jc w:val="center"/>
        <w:rPr>
          <w:b/>
          <w:bCs/>
          <w:color w:val="auto"/>
          <w:sz w:val="32"/>
          <w:szCs w:val="40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b/>
          <w:bCs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40"/>
        </w:rPr>
        <w:t>招 标 公 告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一、招标项目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龙腾御锦湾12-15#楼铝合金门窗制作安装工程。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详见后附施工图。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二、投标人资格要求：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1、投标人需具备独立法人资格，具备门窗制作安装经营范围及相关资质。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2、近3年已完成2个以上同等规模的工程（提供中标通知书或合同，以中标或签订施工合同时间为时间依据）。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3、无不良履约信用记录，未被有关行政主管部门市场禁入。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三、报价要求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1、根据甲方提供的图纸式样及材质标准，达到国家及地方最新质量及验收标准要求。按</w:t>
      </w:r>
      <w:r>
        <w:rPr>
          <w:rFonts w:hint="eastAsia"/>
          <w:color w:val="auto"/>
          <w:sz w:val="24"/>
          <w:szCs w:val="32"/>
          <w:lang w:eastAsia="zh-CN"/>
        </w:rPr>
        <w:t>铝合金门窗</w:t>
      </w:r>
      <w:r>
        <w:rPr>
          <w:rFonts w:hint="eastAsia"/>
          <w:color w:val="auto"/>
          <w:sz w:val="24"/>
          <w:szCs w:val="32"/>
        </w:rPr>
        <w:t>、铝合金提升窗（若确实必须设置，则按提升窗的中标价进行结算，当调整为平开窗时，则按平开窗进行结算。）、商业铝合金地弹门各自分别报价，该报价为综合单价（元/平米）且必须附报价预算明细表。结算数量按现场实际收方数量计算（计量原则：以甲方书面认可的安装成型的门、窗外框外围尺寸进行计量收方。），不另计算损耗。（综合单价为含全额税率9%增值税专用发票价格。）</w:t>
      </w:r>
    </w:p>
    <w:p>
      <w:pPr>
        <w:spacing w:line="360" w:lineRule="auto"/>
        <w:ind w:firstLine="482" w:firstLineChars="200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2、材料品牌选用：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（1）型材品牌：AAG亚铝、柯美特、奥朗斯、天巨或同档次品牌。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（2）五金配件：春光、坚铭、力兴或同档次品牌；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（3）玻璃的选用：玻璃选用5+12A+5ALow-e中空玻璃，根据规范使用钢化玻璃；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（4）辅材要求：根据图纸及实际需求选用，必须符合国家及地方相关规范同时满足相关验收标准要求，并检验合格。</w:t>
      </w:r>
    </w:p>
    <w:p>
      <w:pPr>
        <w:spacing w:line="360" w:lineRule="auto"/>
        <w:ind w:firstLine="482" w:firstLineChars="200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3、付款方式：</w:t>
      </w:r>
    </w:p>
    <w:p>
      <w:pPr>
        <w:spacing w:line="360" w:lineRule="auto"/>
        <w:ind w:firstLine="482" w:firstLineChars="200"/>
        <w:rPr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（1）预付款</w:t>
      </w:r>
      <w:r>
        <w:rPr>
          <w:rFonts w:hint="eastAsia"/>
          <w:color w:val="auto"/>
          <w:sz w:val="24"/>
          <w:szCs w:val="32"/>
        </w:rPr>
        <w:t>：合同签订后，施工单位安装人员及材料、设备进场后5个工作日内，甲方向乙方预付工程款40万元（</w:t>
      </w:r>
      <w:r>
        <w:rPr>
          <w:rFonts w:hint="eastAsia"/>
          <w:color w:val="auto"/>
          <w:sz w:val="24"/>
          <w:szCs w:val="32"/>
          <w:u w:val="single"/>
        </w:rPr>
        <w:t>大写：肆拾万元整</w:t>
      </w:r>
      <w:r>
        <w:rPr>
          <w:rFonts w:hint="eastAsia"/>
          <w:color w:val="auto"/>
          <w:sz w:val="24"/>
          <w:szCs w:val="32"/>
        </w:rPr>
        <w:t>）【前提是中标单位签订正式合同前须向甲方交纳履约保证金40万元】。该履约保证金在工程最后一期结算时全额无息退还，同时甲方从结算款中扣回前期拨付的预付工程款40万元。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</w:t>
      </w:r>
      <w:r>
        <w:rPr>
          <w:rFonts w:hint="eastAsia"/>
          <w:b/>
          <w:bCs/>
          <w:color w:val="auto"/>
          <w:sz w:val="24"/>
          <w:szCs w:val="32"/>
        </w:rPr>
        <w:t>2）进度款</w:t>
      </w:r>
      <w:r>
        <w:rPr>
          <w:rFonts w:hint="eastAsia"/>
          <w:color w:val="auto"/>
          <w:sz w:val="24"/>
          <w:szCs w:val="32"/>
        </w:rPr>
        <w:t>：铝合金门、窗框安装完毕经甲方验收确认后5个工作日内支付当期应结算工程款的20%作为进度款；玻璃安装完毕经甲方验收确认后5个工作日内支付当期应结算工程款的30%作为二次进度款；</w:t>
      </w:r>
    </w:p>
    <w:p>
      <w:pPr>
        <w:spacing w:line="360" w:lineRule="auto"/>
        <w:ind w:firstLine="482" w:firstLineChars="200"/>
        <w:rPr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（3）尾款：</w:t>
      </w:r>
      <w:r>
        <w:rPr>
          <w:rFonts w:hint="eastAsia"/>
          <w:color w:val="auto"/>
          <w:sz w:val="24"/>
          <w:szCs w:val="32"/>
        </w:rPr>
        <w:t>当期工程施工完毕、验收合格并办理完结算手续后10个工作日内支付到应结算总金额97%；</w:t>
      </w:r>
    </w:p>
    <w:p>
      <w:pPr>
        <w:spacing w:line="360" w:lineRule="auto"/>
        <w:ind w:firstLine="482" w:firstLineChars="200"/>
        <w:rPr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（4）质保金</w:t>
      </w:r>
      <w:r>
        <w:rPr>
          <w:rFonts w:hint="eastAsia"/>
          <w:color w:val="auto"/>
          <w:sz w:val="24"/>
          <w:szCs w:val="32"/>
        </w:rPr>
        <w:t>：质保金3%，质保到期后10个工作日内支付。（质保期自验收合格，双方签字确认完善移交手续之日起计算，质保期不低于2年。）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 xml:space="preserve"> 四、招标文件的获取</w:t>
      </w:r>
    </w:p>
    <w:p>
      <w:pPr>
        <w:spacing w:line="360" w:lineRule="auto"/>
        <w:ind w:firstLine="482" w:firstLineChars="200"/>
        <w:rPr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招标时间：</w:t>
      </w:r>
      <w:r>
        <w:rPr>
          <w:rFonts w:hint="eastAsia"/>
          <w:color w:val="auto"/>
          <w:sz w:val="24"/>
          <w:szCs w:val="32"/>
        </w:rPr>
        <w:t>2021年1月19日至1月26日。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有意参与投标的单位可在招标时间内，凭企业营业执照及资质文件领取招标文件。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联系：范梦媛13540181046     贾科18782674017     张维</w:t>
      </w:r>
      <w:r>
        <w:rPr>
          <w:rFonts w:hint="eastAsia" w:ascii="宋体" w:hAnsi="宋体" w:eastAsia="宋体" w:cs="宋体"/>
          <w:color w:val="auto"/>
          <w:sz w:val="24"/>
        </w:rPr>
        <w:t>17380158669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五、投标文件的递交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1、投标文件递交的截止时间为：2021年1月26日10:00。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2、投标文件递交地点为：</w:t>
      </w:r>
      <w:r>
        <w:rPr>
          <w:rFonts w:hint="eastAsia" w:ascii="宋体" w:hAnsi="宋体" w:eastAsia="宋体" w:cs="宋体"/>
          <w:color w:val="auto"/>
          <w:sz w:val="24"/>
        </w:rPr>
        <w:t>成都市龙泉驿区柏合歇凉关路888号龙腾御锦湾项目办公室（售楼部三楼）</w:t>
      </w:r>
      <w:r>
        <w:rPr>
          <w:rFonts w:hint="eastAsia"/>
          <w:color w:val="auto"/>
          <w:sz w:val="24"/>
          <w:szCs w:val="32"/>
        </w:rPr>
        <w:t>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3、投标文件递交联系人：范梦媛13540181046     贾科18782674017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4、逾期送达的或者未送达指定地点的投标文件，招标人不予受理。</w:t>
      </w:r>
    </w:p>
    <w:p>
      <w:pPr>
        <w:spacing w:line="360" w:lineRule="auto"/>
        <w:rPr>
          <w:color w:val="auto"/>
          <w:sz w:val="24"/>
          <w:szCs w:val="32"/>
        </w:rPr>
      </w:pPr>
    </w:p>
    <w:p>
      <w:pPr>
        <w:spacing w:line="360" w:lineRule="auto"/>
        <w:jc w:val="right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成都吉兴和投资有限公司</w:t>
      </w:r>
    </w:p>
    <w:p>
      <w:pPr>
        <w:spacing w:line="360" w:lineRule="auto"/>
        <w:jc w:val="right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2021年1月19日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spacing w:line="360" w:lineRule="auto"/>
        <w:rPr>
          <w:color w:val="auto"/>
          <w:sz w:val="24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eMqNj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lvl w:ilvl="0" w:tentative="0">
      <w:start w:val="1"/>
      <w:numFmt w:val="decimal"/>
      <w:pStyle w:val="2"/>
      <w:suff w:val="nothing"/>
      <w:lvlText w:val="%1、"/>
      <w:lvlJc w:val="left"/>
      <w:pPr>
        <w:ind w:left="587" w:hanging="227"/>
      </w:pPr>
      <w:rPr>
        <w:rFonts w:hint="default"/>
        <w:b/>
        <w:sz w:val="32"/>
        <w:szCs w:val="32"/>
      </w:rPr>
    </w:lvl>
    <w:lvl w:ilvl="1" w:tentative="0">
      <w:start w:val="1"/>
      <w:numFmt w:val="decimal"/>
      <w:suff w:val="nothing"/>
      <w:lvlText w:val="%1.%2"/>
      <w:lvlJc w:val="left"/>
      <w:pPr>
        <w:ind w:left="737" w:hanging="737"/>
      </w:pPr>
      <w:rPr>
        <w:rFonts w:hint="default" w:ascii="宋体" w:hAnsi="宋体" w:eastAsia="宋体"/>
      </w:rPr>
    </w:lvl>
    <w:lvl w:ilvl="2" w:tentative="0">
      <w:start w:val="1"/>
      <w:numFmt w:val="decimal"/>
      <w:suff w:val="nothing"/>
      <w:lvlText w:val="%1.%2.%3"/>
      <w:lvlJc w:val="left"/>
      <w:pPr>
        <w:ind w:left="737" w:hanging="737"/>
      </w:pPr>
      <w:rPr>
        <w:rFonts w:hint="default" w:ascii="宋体" w:hAnsi="宋体" w:eastAsia="宋体"/>
        <w:b w:val="0"/>
        <w:i w:val="0"/>
        <w:sz w:val="24"/>
        <w:szCs w:val="24"/>
      </w:rPr>
    </w:lvl>
    <w:lvl w:ilvl="3" w:tentative="0">
      <w:start w:val="1"/>
      <w:numFmt w:val="decimal"/>
      <w:suff w:val="nothing"/>
      <w:lvlText w:val="%1.%2.%3.%4"/>
      <w:lvlJc w:val="left"/>
      <w:pPr>
        <w:ind w:left="964" w:hanging="964"/>
      </w:pPr>
      <w:rPr>
        <w:rFonts w:hint="eastAsia" w:ascii="宋体" w:hAnsi="宋体" w:eastAsia="宋体"/>
        <w:sz w:val="24"/>
        <w:szCs w:val="24"/>
      </w:rPr>
    </w:lvl>
    <w:lvl w:ilvl="4" w:tentative="0">
      <w:start w:val="2"/>
      <w:numFmt w:val="decimal"/>
      <w:suff w:val="nothing"/>
      <w:lvlText w:val="%1.%2.%3.%4.%5"/>
      <w:lvlJc w:val="left"/>
      <w:pPr>
        <w:ind w:left="1247" w:hanging="119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4200"/>
        </w:tabs>
        <w:ind w:left="0" w:firstLine="0"/>
      </w:pPr>
      <w:rPr>
        <w:rFonts w:hint="default"/>
      </w:rPr>
    </w:lvl>
    <w:lvl w:ilvl="6" w:tentative="0">
      <w:start w:val="1"/>
      <w:numFmt w:val="decimal"/>
      <w:lvlText w:val="%1.%2、%3.%4.%5.%6.%7."/>
      <w:lvlJc w:val="left"/>
      <w:pPr>
        <w:tabs>
          <w:tab w:val="left" w:pos="4680"/>
        </w:tabs>
        <w:ind w:left="4680" w:hanging="1800"/>
      </w:pPr>
      <w:rPr>
        <w:rFonts w:hint="default"/>
      </w:rPr>
    </w:lvl>
    <w:lvl w:ilvl="7" w:tentative="0">
      <w:start w:val="1"/>
      <w:numFmt w:val="decimal"/>
      <w:lvlText w:val="%1.%2、%3.%4.%5.%6.%7.%8."/>
      <w:lvlJc w:val="left"/>
      <w:pPr>
        <w:tabs>
          <w:tab w:val="left" w:pos="5520"/>
        </w:tabs>
        <w:ind w:left="5520" w:hanging="2160"/>
      </w:pPr>
      <w:rPr>
        <w:rFonts w:hint="default"/>
      </w:rPr>
    </w:lvl>
    <w:lvl w:ilvl="8" w:tentative="0">
      <w:start w:val="1"/>
      <w:numFmt w:val="decimal"/>
      <w:lvlText w:val="%1.%2、%3.%4.%5.%6.%7.%8.%9."/>
      <w:lvlJc w:val="left"/>
      <w:pPr>
        <w:tabs>
          <w:tab w:val="left" w:pos="6360"/>
        </w:tabs>
        <w:ind w:left="636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AB5D61"/>
    <w:rsid w:val="00173153"/>
    <w:rsid w:val="002F0955"/>
    <w:rsid w:val="002F4F58"/>
    <w:rsid w:val="003E6D78"/>
    <w:rsid w:val="00435099"/>
    <w:rsid w:val="004A4321"/>
    <w:rsid w:val="004F1DCD"/>
    <w:rsid w:val="00521EA1"/>
    <w:rsid w:val="005E271A"/>
    <w:rsid w:val="00624355"/>
    <w:rsid w:val="006940FF"/>
    <w:rsid w:val="007E1799"/>
    <w:rsid w:val="00977414"/>
    <w:rsid w:val="00BB1F45"/>
    <w:rsid w:val="00C14CE7"/>
    <w:rsid w:val="00C32CC1"/>
    <w:rsid w:val="00C55301"/>
    <w:rsid w:val="00D747FB"/>
    <w:rsid w:val="00FC6BF8"/>
    <w:rsid w:val="01276C8C"/>
    <w:rsid w:val="020A763E"/>
    <w:rsid w:val="032E1EFE"/>
    <w:rsid w:val="051C668F"/>
    <w:rsid w:val="09C52EE8"/>
    <w:rsid w:val="0ED3302A"/>
    <w:rsid w:val="0FC96465"/>
    <w:rsid w:val="152F78FC"/>
    <w:rsid w:val="184302BB"/>
    <w:rsid w:val="1B216793"/>
    <w:rsid w:val="1B8C7195"/>
    <w:rsid w:val="1C7D28C2"/>
    <w:rsid w:val="1D722CF8"/>
    <w:rsid w:val="21C46F21"/>
    <w:rsid w:val="234B1A24"/>
    <w:rsid w:val="249D3ECC"/>
    <w:rsid w:val="25D62342"/>
    <w:rsid w:val="280B36BF"/>
    <w:rsid w:val="28AB5D61"/>
    <w:rsid w:val="29F447CB"/>
    <w:rsid w:val="2AAC3B96"/>
    <w:rsid w:val="2CC97F92"/>
    <w:rsid w:val="2FF76CB4"/>
    <w:rsid w:val="30DB3A13"/>
    <w:rsid w:val="350D435E"/>
    <w:rsid w:val="37591973"/>
    <w:rsid w:val="38101A69"/>
    <w:rsid w:val="384927F3"/>
    <w:rsid w:val="394C6D2C"/>
    <w:rsid w:val="39834508"/>
    <w:rsid w:val="398768B2"/>
    <w:rsid w:val="3A817DF1"/>
    <w:rsid w:val="3B01446E"/>
    <w:rsid w:val="3C222D19"/>
    <w:rsid w:val="3D971290"/>
    <w:rsid w:val="3E43758E"/>
    <w:rsid w:val="3E4C2B83"/>
    <w:rsid w:val="3EB25C39"/>
    <w:rsid w:val="3FA65211"/>
    <w:rsid w:val="41CB69EC"/>
    <w:rsid w:val="423C630C"/>
    <w:rsid w:val="442F2630"/>
    <w:rsid w:val="44636AA5"/>
    <w:rsid w:val="45DF2621"/>
    <w:rsid w:val="482C500C"/>
    <w:rsid w:val="483D2B5D"/>
    <w:rsid w:val="4A954AF2"/>
    <w:rsid w:val="4B0B4FEB"/>
    <w:rsid w:val="509F0C5E"/>
    <w:rsid w:val="526F3264"/>
    <w:rsid w:val="53B02F96"/>
    <w:rsid w:val="54777614"/>
    <w:rsid w:val="54803C61"/>
    <w:rsid w:val="59050292"/>
    <w:rsid w:val="5924539C"/>
    <w:rsid w:val="5A304687"/>
    <w:rsid w:val="5AE60F6C"/>
    <w:rsid w:val="5B0114D0"/>
    <w:rsid w:val="5B5D1291"/>
    <w:rsid w:val="5BFD4050"/>
    <w:rsid w:val="5C296C8E"/>
    <w:rsid w:val="5CCB7FC0"/>
    <w:rsid w:val="5E7B172D"/>
    <w:rsid w:val="5F903C9E"/>
    <w:rsid w:val="615335CC"/>
    <w:rsid w:val="64E97355"/>
    <w:rsid w:val="65D436F5"/>
    <w:rsid w:val="66AF3D73"/>
    <w:rsid w:val="69295D3B"/>
    <w:rsid w:val="697B4F46"/>
    <w:rsid w:val="6E162D96"/>
    <w:rsid w:val="700013C6"/>
    <w:rsid w:val="70870893"/>
    <w:rsid w:val="727231F2"/>
    <w:rsid w:val="77C13AA8"/>
    <w:rsid w:val="77C92CE7"/>
    <w:rsid w:val="77CB7BE6"/>
    <w:rsid w:val="78EC14CA"/>
    <w:rsid w:val="7A5067A0"/>
    <w:rsid w:val="7CDE1BBE"/>
    <w:rsid w:val="7E0535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spacing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2709</Words>
  <Characters>15444</Characters>
  <Lines>128</Lines>
  <Paragraphs>36</Paragraphs>
  <TotalTime>19</TotalTime>
  <ScaleCrop>false</ScaleCrop>
  <LinksUpToDate>false</LinksUpToDate>
  <CharactersWithSpaces>18117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2020-10-26T02:11:00Z</dcterms:created>
  <dc:creator>J-waj</dc:creator>
  <cp:lastModifiedBy>J-waj</cp:lastModifiedBy>
  <cp:lastPrinted>2021-01-15T08:31:00Z</cp:lastPrinted>
  <dcterms:modified xsi:type="dcterms:W3CDTF">2021-01-21T00:38:28Z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